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5359E111" w:rsidR="001C2E97" w:rsidRDefault="51E4DA8C" w:rsidP="46A75763">
      <w:pPr>
        <w:jc w:val="center"/>
        <w:rPr>
          <w:rFonts w:ascii="Arial" w:eastAsia="Arial" w:hAnsi="Arial" w:cs="Arial"/>
          <w:b/>
          <w:bCs/>
          <w:sz w:val="28"/>
          <w:szCs w:val="28"/>
        </w:rPr>
      </w:pPr>
      <w:r w:rsidRPr="165D6ACA">
        <w:rPr>
          <w:rFonts w:ascii="Arial" w:eastAsia="Arial" w:hAnsi="Arial" w:cs="Arial"/>
          <w:b/>
          <w:bCs/>
          <w:sz w:val="28"/>
          <w:szCs w:val="28"/>
        </w:rPr>
        <w:t xml:space="preserve">EPG </w:t>
      </w:r>
      <w:r w:rsidR="4B48170B" w:rsidRPr="165D6ACA">
        <w:rPr>
          <w:rFonts w:ascii="Arial" w:eastAsia="Arial" w:hAnsi="Arial" w:cs="Arial"/>
          <w:b/>
          <w:bCs/>
          <w:sz w:val="28"/>
          <w:szCs w:val="28"/>
        </w:rPr>
        <w:t xml:space="preserve">AURA Observer </w:t>
      </w:r>
      <w:r w:rsidR="0D5C3E6A" w:rsidRPr="165D6ACA">
        <w:rPr>
          <w:rFonts w:ascii="Arial" w:eastAsia="Arial" w:hAnsi="Arial" w:cs="Arial"/>
          <w:b/>
          <w:bCs/>
          <w:sz w:val="28"/>
          <w:szCs w:val="28"/>
        </w:rPr>
        <w:t xml:space="preserve">Wins </w:t>
      </w:r>
      <w:r w:rsidR="62253706" w:rsidRPr="165D6ACA">
        <w:rPr>
          <w:rFonts w:ascii="Arial" w:eastAsia="Arial" w:hAnsi="Arial" w:cs="Arial"/>
          <w:b/>
          <w:bCs/>
          <w:sz w:val="28"/>
          <w:szCs w:val="28"/>
        </w:rPr>
        <w:t>“</w:t>
      </w:r>
      <w:r w:rsidR="0D5C3E6A" w:rsidRPr="165D6ACA">
        <w:rPr>
          <w:rFonts w:ascii="Arial" w:eastAsia="Arial" w:hAnsi="Arial" w:cs="Arial"/>
          <w:b/>
          <w:bCs/>
          <w:sz w:val="28"/>
          <w:szCs w:val="28"/>
        </w:rPr>
        <w:t xml:space="preserve">Overall </w:t>
      </w:r>
      <w:r w:rsidR="6C436ABA" w:rsidRPr="165D6ACA">
        <w:rPr>
          <w:rFonts w:ascii="Arial" w:eastAsia="Arial" w:hAnsi="Arial" w:cs="Arial"/>
          <w:b/>
          <w:bCs/>
          <w:sz w:val="28"/>
          <w:szCs w:val="28"/>
        </w:rPr>
        <w:t xml:space="preserve">Logistics Innovation </w:t>
      </w:r>
      <w:r w:rsidR="0D5C3E6A" w:rsidRPr="165D6ACA">
        <w:rPr>
          <w:rFonts w:ascii="Arial" w:eastAsia="Arial" w:hAnsi="Arial" w:cs="Arial"/>
          <w:b/>
          <w:bCs/>
          <w:sz w:val="28"/>
          <w:szCs w:val="28"/>
        </w:rPr>
        <w:t>of the Year</w:t>
      </w:r>
      <w:r w:rsidR="0DDEB170" w:rsidRPr="165D6ACA">
        <w:rPr>
          <w:rFonts w:ascii="Arial" w:eastAsia="Arial" w:hAnsi="Arial" w:cs="Arial"/>
          <w:b/>
          <w:bCs/>
          <w:sz w:val="28"/>
          <w:szCs w:val="28"/>
        </w:rPr>
        <w:t>”</w:t>
      </w:r>
      <w:r w:rsidR="0D5C3E6A" w:rsidRPr="165D6ACA">
        <w:rPr>
          <w:rFonts w:ascii="Arial" w:eastAsia="Arial" w:hAnsi="Arial" w:cs="Arial"/>
          <w:b/>
          <w:bCs/>
          <w:sz w:val="28"/>
          <w:szCs w:val="28"/>
        </w:rPr>
        <w:t xml:space="preserve"> in 202</w:t>
      </w:r>
      <w:r w:rsidR="48E5B454" w:rsidRPr="165D6ACA">
        <w:rPr>
          <w:rFonts w:ascii="Arial" w:eastAsia="Arial" w:hAnsi="Arial" w:cs="Arial"/>
          <w:b/>
          <w:bCs/>
          <w:sz w:val="28"/>
          <w:szCs w:val="28"/>
        </w:rPr>
        <w:t>6</w:t>
      </w:r>
      <w:r w:rsidR="0D5C3E6A" w:rsidRPr="165D6ACA">
        <w:rPr>
          <w:rFonts w:ascii="Arial" w:eastAsia="Arial" w:hAnsi="Arial" w:cs="Arial"/>
          <w:b/>
          <w:bCs/>
          <w:sz w:val="28"/>
          <w:szCs w:val="28"/>
        </w:rPr>
        <w:t xml:space="preserve"> SupplyTech Breakthrough Awards</w:t>
      </w:r>
    </w:p>
    <w:p w14:paraId="0E5333AF" w14:textId="09960CE1" w:rsidR="5B0B1D85" w:rsidRDefault="0D5C3E6A" w:rsidP="46A75763">
      <w:pPr>
        <w:jc w:val="center"/>
        <w:rPr>
          <w:rFonts w:ascii="Arial" w:eastAsia="Arial" w:hAnsi="Arial" w:cs="Arial"/>
          <w:i/>
          <w:iCs/>
          <w:sz w:val="20"/>
          <w:szCs w:val="20"/>
        </w:rPr>
      </w:pPr>
      <w:r w:rsidRPr="46A75763">
        <w:rPr>
          <w:rFonts w:ascii="Arial" w:eastAsia="Arial" w:hAnsi="Arial" w:cs="Arial"/>
          <w:i/>
          <w:iCs/>
          <w:sz w:val="22"/>
          <w:szCs w:val="22"/>
        </w:rPr>
        <w:t>Annual Awards Program Recognizes Innovation in the Global</w:t>
      </w:r>
      <w:r w:rsidR="5B0B1D85">
        <w:br/>
      </w:r>
      <w:r w:rsidR="1656B691" w:rsidRPr="46A75763">
        <w:rPr>
          <w:rFonts w:ascii="Arial" w:eastAsia="Arial" w:hAnsi="Arial" w:cs="Arial"/>
          <w:i/>
          <w:iCs/>
          <w:sz w:val="22"/>
          <w:szCs w:val="22"/>
        </w:rPr>
        <w:t>Supply Chain Technology and Logistics Industry</w:t>
      </w:r>
      <w:r w:rsidR="5B0B1D85">
        <w:br/>
      </w:r>
    </w:p>
    <w:p w14:paraId="04E7B8BF" w14:textId="224F6818" w:rsidR="1656B691" w:rsidRDefault="1656B691" w:rsidP="46A75763">
      <w:pPr>
        <w:spacing w:line="360" w:lineRule="auto"/>
        <w:rPr>
          <w:rFonts w:ascii="Arial" w:eastAsia="Arial" w:hAnsi="Arial" w:cs="Arial"/>
          <w:sz w:val="20"/>
          <w:szCs w:val="20"/>
        </w:rPr>
      </w:pPr>
      <w:r w:rsidRPr="165D6ACA">
        <w:rPr>
          <w:rFonts w:ascii="Arial" w:eastAsia="Arial" w:hAnsi="Arial" w:cs="Arial"/>
          <w:b/>
          <w:bCs/>
          <w:sz w:val="20"/>
          <w:szCs w:val="20"/>
        </w:rPr>
        <w:t>Northlake, Texas (June 11, 202</w:t>
      </w:r>
      <w:r w:rsidR="0BEB6B2B" w:rsidRPr="165D6ACA">
        <w:rPr>
          <w:rFonts w:ascii="Arial" w:eastAsia="Arial" w:hAnsi="Arial" w:cs="Arial"/>
          <w:b/>
          <w:bCs/>
          <w:sz w:val="20"/>
          <w:szCs w:val="20"/>
        </w:rPr>
        <w:t>6</w:t>
      </w:r>
      <w:r w:rsidRPr="165D6ACA">
        <w:rPr>
          <w:rFonts w:ascii="Arial" w:eastAsia="Arial" w:hAnsi="Arial" w:cs="Arial"/>
          <w:b/>
          <w:bCs/>
          <w:sz w:val="20"/>
          <w:szCs w:val="20"/>
        </w:rPr>
        <w:t xml:space="preserve">) </w:t>
      </w:r>
      <w:r w:rsidR="2D7075F0" w:rsidRPr="165D6ACA">
        <w:rPr>
          <w:rFonts w:ascii="Arial" w:eastAsia="Arial" w:hAnsi="Arial" w:cs="Arial"/>
          <w:sz w:val="20"/>
          <w:szCs w:val="20"/>
        </w:rPr>
        <w:t xml:space="preserve">— </w:t>
      </w:r>
      <w:hyperlink r:id="rId10">
        <w:r w:rsidRPr="165D6ACA">
          <w:rPr>
            <w:rStyle w:val="Hyperlink"/>
            <w:rFonts w:ascii="Arial" w:eastAsia="Arial" w:hAnsi="Arial" w:cs="Arial"/>
            <w:color w:val="0070C0"/>
            <w:sz w:val="20"/>
            <w:szCs w:val="20"/>
          </w:rPr>
          <w:t>Ehrhardt Partner Group</w:t>
        </w:r>
        <w:r w:rsidR="321B2BC9" w:rsidRPr="165D6ACA">
          <w:rPr>
            <w:rStyle w:val="Hyperlink"/>
            <w:rFonts w:ascii="Arial" w:eastAsia="Arial" w:hAnsi="Arial" w:cs="Arial"/>
            <w:color w:val="0070C0"/>
            <w:sz w:val="20"/>
            <w:szCs w:val="20"/>
          </w:rPr>
          <w:t xml:space="preserve"> (EPG)</w:t>
        </w:r>
      </w:hyperlink>
      <w:r w:rsidR="4818D424" w:rsidRPr="165D6ACA">
        <w:rPr>
          <w:rFonts w:ascii="Arial" w:eastAsia="Arial" w:hAnsi="Arial" w:cs="Arial"/>
          <w:sz w:val="20"/>
          <w:szCs w:val="20"/>
        </w:rPr>
        <w:t>, a global leader in unified supply chain execution</w:t>
      </w:r>
      <w:r w:rsidRPr="165D6ACA">
        <w:rPr>
          <w:rFonts w:ascii="Arial" w:eastAsia="Arial" w:hAnsi="Arial" w:cs="Arial"/>
          <w:sz w:val="20"/>
          <w:szCs w:val="20"/>
        </w:rPr>
        <w:t xml:space="preserve"> </w:t>
      </w:r>
      <w:r w:rsidR="3842D82F" w:rsidRPr="165D6ACA">
        <w:rPr>
          <w:rFonts w:ascii="Arial" w:eastAsia="Arial" w:hAnsi="Arial" w:cs="Arial"/>
          <w:sz w:val="20"/>
          <w:szCs w:val="20"/>
        </w:rPr>
        <w:t xml:space="preserve">and warehouse management technology, announced today </w:t>
      </w:r>
      <w:r w:rsidR="480B8E4E" w:rsidRPr="165D6ACA">
        <w:rPr>
          <w:rFonts w:ascii="Arial" w:eastAsia="Arial" w:hAnsi="Arial" w:cs="Arial"/>
          <w:sz w:val="20"/>
          <w:szCs w:val="20"/>
        </w:rPr>
        <w:t xml:space="preserve">that EPG </w:t>
      </w:r>
      <w:r w:rsidR="18E23774" w:rsidRPr="165D6ACA">
        <w:rPr>
          <w:rFonts w:ascii="Arial" w:eastAsia="Arial" w:hAnsi="Arial" w:cs="Arial"/>
          <w:sz w:val="20"/>
          <w:szCs w:val="20"/>
        </w:rPr>
        <w:t xml:space="preserve">AURA Observer </w:t>
      </w:r>
      <w:r w:rsidR="3842D82F" w:rsidRPr="165D6ACA">
        <w:rPr>
          <w:rFonts w:ascii="Arial" w:eastAsia="Arial" w:hAnsi="Arial" w:cs="Arial"/>
          <w:sz w:val="20"/>
          <w:szCs w:val="20"/>
        </w:rPr>
        <w:t xml:space="preserve">has been </w:t>
      </w:r>
      <w:r w:rsidR="4C36A1B6" w:rsidRPr="165D6ACA">
        <w:rPr>
          <w:rFonts w:ascii="Arial" w:eastAsia="Arial" w:hAnsi="Arial" w:cs="Arial"/>
          <w:sz w:val="20"/>
          <w:szCs w:val="20"/>
        </w:rPr>
        <w:t>selected as the winner of</w:t>
      </w:r>
      <w:r w:rsidR="6D47A8DA" w:rsidRPr="165D6ACA">
        <w:rPr>
          <w:rFonts w:ascii="Arial" w:eastAsia="Arial" w:hAnsi="Arial" w:cs="Arial"/>
          <w:sz w:val="20"/>
          <w:szCs w:val="20"/>
        </w:rPr>
        <w:t xml:space="preserve"> t</w:t>
      </w:r>
      <w:r w:rsidR="3842D82F" w:rsidRPr="165D6ACA">
        <w:rPr>
          <w:rFonts w:ascii="Arial" w:eastAsia="Arial" w:hAnsi="Arial" w:cs="Arial"/>
          <w:sz w:val="20"/>
          <w:szCs w:val="20"/>
        </w:rPr>
        <w:t xml:space="preserve">he “Overall </w:t>
      </w:r>
      <w:r w:rsidR="7908D190" w:rsidRPr="165D6ACA">
        <w:rPr>
          <w:rFonts w:ascii="Arial" w:eastAsia="Arial" w:hAnsi="Arial" w:cs="Arial"/>
          <w:sz w:val="20"/>
          <w:szCs w:val="20"/>
        </w:rPr>
        <w:t xml:space="preserve">Logistics Innovation </w:t>
      </w:r>
      <w:r w:rsidR="3842D82F" w:rsidRPr="165D6ACA">
        <w:rPr>
          <w:rFonts w:ascii="Arial" w:eastAsia="Arial" w:hAnsi="Arial" w:cs="Arial"/>
          <w:sz w:val="20"/>
          <w:szCs w:val="20"/>
        </w:rPr>
        <w:t xml:space="preserve">of the Year” </w:t>
      </w:r>
      <w:r w:rsidR="601734D9" w:rsidRPr="165D6ACA">
        <w:rPr>
          <w:rFonts w:ascii="Arial" w:eastAsia="Arial" w:hAnsi="Arial" w:cs="Arial"/>
          <w:sz w:val="20"/>
          <w:szCs w:val="20"/>
        </w:rPr>
        <w:t xml:space="preserve">award </w:t>
      </w:r>
      <w:r w:rsidR="3842D82F" w:rsidRPr="165D6ACA">
        <w:rPr>
          <w:rFonts w:ascii="Arial" w:eastAsia="Arial" w:hAnsi="Arial" w:cs="Arial"/>
          <w:sz w:val="20"/>
          <w:szCs w:val="20"/>
        </w:rPr>
        <w:t xml:space="preserve">in the </w:t>
      </w:r>
      <w:r w:rsidR="7A22A2D1" w:rsidRPr="165D6ACA">
        <w:rPr>
          <w:rFonts w:ascii="Arial" w:eastAsia="Arial" w:hAnsi="Arial" w:cs="Arial"/>
          <w:sz w:val="20"/>
          <w:szCs w:val="20"/>
        </w:rPr>
        <w:t>5</w:t>
      </w:r>
      <w:r w:rsidR="3842D82F" w:rsidRPr="165D6ACA">
        <w:rPr>
          <w:rFonts w:ascii="Arial" w:eastAsia="Arial" w:hAnsi="Arial" w:cs="Arial"/>
          <w:sz w:val="20"/>
          <w:szCs w:val="20"/>
          <w:vertAlign w:val="superscript"/>
        </w:rPr>
        <w:t>th</w:t>
      </w:r>
      <w:r w:rsidR="3842D82F" w:rsidRPr="165D6ACA">
        <w:rPr>
          <w:rFonts w:ascii="Arial" w:eastAsia="Arial" w:hAnsi="Arial" w:cs="Arial"/>
          <w:sz w:val="20"/>
          <w:szCs w:val="20"/>
        </w:rPr>
        <w:t xml:space="preserve"> annual SupplyTech Breakthrough</w:t>
      </w:r>
      <w:r w:rsidR="3842D82F" w:rsidRPr="165D6ACA">
        <w:rPr>
          <w:rFonts w:ascii="Arial" w:eastAsia="Arial" w:hAnsi="Arial" w:cs="Arial"/>
          <w:color w:val="0070C0"/>
          <w:sz w:val="20"/>
          <w:szCs w:val="20"/>
        </w:rPr>
        <w:t xml:space="preserve"> </w:t>
      </w:r>
      <w:r w:rsidR="3842D82F" w:rsidRPr="165D6ACA">
        <w:rPr>
          <w:rFonts w:ascii="Arial" w:eastAsia="Arial" w:hAnsi="Arial" w:cs="Arial"/>
          <w:sz w:val="20"/>
          <w:szCs w:val="20"/>
        </w:rPr>
        <w:t xml:space="preserve">Awards program conducted by SupplyTech Breakthrough, a leading independent market intelligence organization that evaluates and recognizes standout technology companies, products, and services in the supply chain technology and logistics industry around the </w:t>
      </w:r>
      <w:r w:rsidR="61B80D73" w:rsidRPr="165D6ACA">
        <w:rPr>
          <w:rFonts w:ascii="Arial" w:eastAsia="Arial" w:hAnsi="Arial" w:cs="Arial"/>
          <w:sz w:val="20"/>
          <w:szCs w:val="20"/>
        </w:rPr>
        <w:t xml:space="preserve">globe. </w:t>
      </w:r>
    </w:p>
    <w:p w14:paraId="541844FD" w14:textId="65FA5827" w:rsidR="6BEE09F1" w:rsidRDefault="6BEE09F1" w:rsidP="165D6ACA">
      <w:pPr>
        <w:spacing w:line="360" w:lineRule="auto"/>
        <w:rPr>
          <w:rFonts w:ascii="Arial" w:eastAsia="Arial" w:hAnsi="Arial" w:cs="Arial"/>
          <w:sz w:val="20"/>
          <w:szCs w:val="20"/>
        </w:rPr>
      </w:pPr>
      <w:r w:rsidRPr="165D6ACA">
        <w:rPr>
          <w:rFonts w:ascii="Arial" w:eastAsia="Arial" w:hAnsi="Arial" w:cs="Arial"/>
          <w:sz w:val="20"/>
          <w:szCs w:val="20"/>
        </w:rPr>
        <w:t>EPG AURA Observer, part of the AI-native</w:t>
      </w:r>
      <w:r w:rsidRPr="165D6ACA">
        <w:rPr>
          <w:rFonts w:ascii="Arial" w:eastAsia="Arial" w:hAnsi="Arial" w:cs="Arial"/>
          <w:color w:val="0070C0"/>
          <w:sz w:val="20"/>
          <w:szCs w:val="20"/>
        </w:rPr>
        <w:t xml:space="preserve"> </w:t>
      </w:r>
      <w:hyperlink r:id="rId11">
        <w:r w:rsidRPr="165D6ACA">
          <w:rPr>
            <w:rStyle w:val="Hyperlink"/>
            <w:rFonts w:ascii="Arial" w:eastAsia="Arial" w:hAnsi="Arial" w:cs="Arial"/>
            <w:color w:val="0070C0"/>
            <w:sz w:val="20"/>
            <w:szCs w:val="20"/>
          </w:rPr>
          <w:t>EPG AURA environment</w:t>
        </w:r>
      </w:hyperlink>
      <w:r w:rsidRPr="165D6ACA">
        <w:rPr>
          <w:rFonts w:ascii="Arial" w:eastAsia="Arial" w:hAnsi="Arial" w:cs="Arial"/>
          <w:sz w:val="20"/>
          <w:szCs w:val="20"/>
        </w:rPr>
        <w:t xml:space="preserve">, </w:t>
      </w:r>
      <w:r w:rsidR="0788B712" w:rsidRPr="165D6ACA">
        <w:rPr>
          <w:rFonts w:ascii="Arial" w:eastAsia="Arial" w:hAnsi="Arial" w:cs="Arial"/>
          <w:sz w:val="20"/>
          <w:szCs w:val="20"/>
        </w:rPr>
        <w:t>helps logistics teams use existing warehouse video infrastructure to understand warehouse activity in real time</w:t>
      </w:r>
      <w:r w:rsidRPr="165D6ACA">
        <w:rPr>
          <w:rFonts w:ascii="Arial" w:eastAsia="Arial" w:hAnsi="Arial" w:cs="Arial"/>
          <w:sz w:val="20"/>
          <w:szCs w:val="20"/>
        </w:rPr>
        <w:t>. The solution interprets live video streams in real time and converts warehouse activity into structured events that can support faster intervention, safer operations, and more informed execution decisions.</w:t>
      </w:r>
    </w:p>
    <w:p w14:paraId="245AC8C0" w14:textId="69085852" w:rsidR="497DEE87" w:rsidRDefault="497DEE87" w:rsidP="165D6ACA">
      <w:pPr>
        <w:spacing w:line="360" w:lineRule="auto"/>
        <w:rPr>
          <w:rFonts w:ascii="Arial" w:eastAsia="Arial" w:hAnsi="Arial" w:cs="Arial"/>
          <w:sz w:val="20"/>
          <w:szCs w:val="20"/>
        </w:rPr>
      </w:pPr>
      <w:r w:rsidRPr="62F692A4">
        <w:rPr>
          <w:rFonts w:ascii="Arial" w:eastAsia="Arial" w:hAnsi="Arial" w:cs="Arial"/>
          <w:sz w:val="20"/>
          <w:szCs w:val="20"/>
        </w:rPr>
        <w:t>With</w:t>
      </w:r>
      <w:r w:rsidRPr="62F692A4">
        <w:rPr>
          <w:rFonts w:ascii="Arial" w:eastAsia="Arial" w:hAnsi="Arial" w:cs="Arial"/>
          <w:sz w:val="18"/>
          <w:szCs w:val="18"/>
        </w:rPr>
        <w:t xml:space="preserve"> </w:t>
      </w:r>
      <w:hyperlink r:id="rId12">
        <w:r w:rsidRPr="62F692A4">
          <w:rPr>
            <w:rStyle w:val="Hyperlink"/>
            <w:rFonts w:ascii="Arial" w:eastAsia="Arial" w:hAnsi="Arial" w:cs="Arial"/>
            <w:color w:val="0070C0"/>
            <w:sz w:val="20"/>
            <w:szCs w:val="20"/>
          </w:rPr>
          <w:t>AURA Observer</w:t>
        </w:r>
      </w:hyperlink>
      <w:r w:rsidRPr="62F692A4">
        <w:rPr>
          <w:rFonts w:ascii="Arial" w:eastAsia="Arial" w:hAnsi="Arial" w:cs="Arial"/>
          <w:sz w:val="20"/>
          <w:szCs w:val="20"/>
        </w:rPr>
        <w:t>, organizations can:</w:t>
      </w:r>
    </w:p>
    <w:p w14:paraId="7687DDAA" w14:textId="1755FD05" w:rsidR="4FE8B9D7" w:rsidRDefault="4FE8B9D7" w:rsidP="165D6ACA">
      <w:pPr>
        <w:pStyle w:val="ListParagraph"/>
        <w:numPr>
          <w:ilvl w:val="0"/>
          <w:numId w:val="4"/>
        </w:numPr>
        <w:spacing w:line="360" w:lineRule="auto"/>
        <w:rPr>
          <w:rFonts w:ascii="Arial" w:eastAsia="Arial" w:hAnsi="Arial" w:cs="Arial"/>
          <w:sz w:val="20"/>
          <w:szCs w:val="20"/>
        </w:rPr>
      </w:pPr>
      <w:r w:rsidRPr="165D6ACA">
        <w:rPr>
          <w:rFonts w:ascii="Arial" w:eastAsia="Arial" w:hAnsi="Arial" w:cs="Arial"/>
          <w:sz w:val="20"/>
          <w:szCs w:val="20"/>
        </w:rPr>
        <w:t xml:space="preserve">Improve safety response by detecting events such as falls, obstacles, blocked emergency exits, and occupational safety violations in real time. </w:t>
      </w:r>
    </w:p>
    <w:p w14:paraId="13EC3F14" w14:textId="2138AD8B" w:rsidR="4FE8B9D7" w:rsidRDefault="4FE8B9D7" w:rsidP="165D6ACA">
      <w:pPr>
        <w:pStyle w:val="ListParagraph"/>
        <w:numPr>
          <w:ilvl w:val="0"/>
          <w:numId w:val="4"/>
        </w:numPr>
        <w:spacing w:line="360" w:lineRule="auto"/>
        <w:rPr>
          <w:rFonts w:ascii="Arial" w:eastAsia="Arial" w:hAnsi="Arial" w:cs="Arial"/>
          <w:sz w:val="20"/>
          <w:szCs w:val="20"/>
        </w:rPr>
      </w:pPr>
      <w:r w:rsidRPr="165D6ACA">
        <w:rPr>
          <w:rFonts w:ascii="Arial" w:eastAsia="Arial" w:hAnsi="Arial" w:cs="Arial"/>
          <w:sz w:val="20"/>
          <w:szCs w:val="20"/>
        </w:rPr>
        <w:t xml:space="preserve">Surface operational bottlenecks by identifying pallet dwell times, congestion, unusual travel paths, and high-traffic areas. </w:t>
      </w:r>
    </w:p>
    <w:p w14:paraId="379E7477" w14:textId="14E7CBEB" w:rsidR="4FE8B9D7" w:rsidRDefault="4FE8B9D7" w:rsidP="165D6ACA">
      <w:pPr>
        <w:pStyle w:val="ListParagraph"/>
        <w:numPr>
          <w:ilvl w:val="0"/>
          <w:numId w:val="4"/>
        </w:numPr>
        <w:spacing w:line="360" w:lineRule="auto"/>
        <w:rPr>
          <w:rFonts w:ascii="Arial" w:eastAsia="Arial" w:hAnsi="Arial" w:cs="Arial"/>
          <w:sz w:val="20"/>
          <w:szCs w:val="20"/>
        </w:rPr>
      </w:pPr>
      <w:r w:rsidRPr="165D6ACA">
        <w:rPr>
          <w:rFonts w:ascii="Arial" w:eastAsia="Arial" w:hAnsi="Arial" w:cs="Arial"/>
          <w:sz w:val="20"/>
          <w:szCs w:val="20"/>
        </w:rPr>
        <w:t xml:space="preserve">Spot process deviations faster when workflows are not being followed as intended. </w:t>
      </w:r>
    </w:p>
    <w:p w14:paraId="0AFDD14C" w14:textId="3C3015C6" w:rsidR="4FE8B9D7" w:rsidRDefault="4FE8B9D7" w:rsidP="165D6ACA">
      <w:pPr>
        <w:pStyle w:val="ListParagraph"/>
        <w:numPr>
          <w:ilvl w:val="0"/>
          <w:numId w:val="4"/>
        </w:numPr>
        <w:spacing w:line="360" w:lineRule="auto"/>
        <w:rPr>
          <w:rFonts w:ascii="Arial" w:eastAsia="Arial" w:hAnsi="Arial" w:cs="Arial"/>
          <w:sz w:val="20"/>
          <w:szCs w:val="20"/>
        </w:rPr>
      </w:pPr>
      <w:r w:rsidRPr="165D6ACA">
        <w:rPr>
          <w:rFonts w:ascii="Arial" w:eastAsia="Arial" w:hAnsi="Arial" w:cs="Arial"/>
          <w:sz w:val="20"/>
          <w:szCs w:val="20"/>
        </w:rPr>
        <w:t>Connect physical activity to execution systems by turning visual events into structured data that can feed WMS, WCS, or control tower systems.</w:t>
      </w:r>
    </w:p>
    <w:p w14:paraId="0ACF9FED" w14:textId="01269144" w:rsidR="4FE8B9D7" w:rsidRDefault="4FE8B9D7" w:rsidP="165D6ACA">
      <w:pPr>
        <w:spacing w:line="360" w:lineRule="auto"/>
        <w:rPr>
          <w:rFonts w:ascii="Arial" w:eastAsia="Arial" w:hAnsi="Arial" w:cs="Arial"/>
          <w:sz w:val="20"/>
          <w:szCs w:val="20"/>
        </w:rPr>
      </w:pPr>
      <w:r w:rsidRPr="165D6ACA">
        <w:rPr>
          <w:rFonts w:ascii="Arial" w:eastAsia="Arial" w:hAnsi="Arial" w:cs="Arial"/>
          <w:sz w:val="20"/>
          <w:szCs w:val="20"/>
        </w:rPr>
        <w:t>AURA Observer’s cross-camera analysis tracks people and objects across multiple perspectives to create a consistent movement model of the warehouse. AI-powered vision-language models add semantic context, enabling the solution to interpret activity rather than simply record it. Teams can also create and adapt use cases through natural language prompts, reducing the need for technical expertise or complex customization.</w:t>
      </w:r>
    </w:p>
    <w:p w14:paraId="04AC1D51" w14:textId="2A69D036" w:rsidR="2EA40EA3" w:rsidRDefault="2EA40EA3" w:rsidP="165D6ACA">
      <w:pPr>
        <w:spacing w:line="360" w:lineRule="auto"/>
        <w:rPr>
          <w:rFonts w:ascii="Arial" w:eastAsia="Arial" w:hAnsi="Arial" w:cs="Arial"/>
          <w:sz w:val="20"/>
          <w:szCs w:val="20"/>
        </w:rPr>
      </w:pPr>
      <w:r w:rsidRPr="165D6ACA">
        <w:rPr>
          <w:rFonts w:ascii="Arial" w:eastAsia="Arial" w:hAnsi="Arial" w:cs="Arial"/>
          <w:sz w:val="20"/>
          <w:szCs w:val="20"/>
        </w:rPr>
        <w:t xml:space="preserve">Designed for real-world industrial environments, AURA Observer anonymizes data, does not store or archive video, and integrates flexibly into existing IT and OT systems. With transient, event-driven analysis, only events and status information are stored rather than the original visual material, supporting data protection, employee acceptance, and </w:t>
      </w:r>
      <w:r w:rsidR="61D1CC40" w:rsidRPr="165D6ACA">
        <w:rPr>
          <w:rFonts w:ascii="Arial" w:eastAsia="Arial" w:hAnsi="Arial" w:cs="Arial"/>
          <w:sz w:val="20"/>
          <w:szCs w:val="20"/>
        </w:rPr>
        <w:t>compliant</w:t>
      </w:r>
      <w:r w:rsidRPr="165D6ACA">
        <w:rPr>
          <w:rFonts w:ascii="Arial" w:eastAsia="Arial" w:hAnsi="Arial" w:cs="Arial"/>
          <w:sz w:val="20"/>
          <w:szCs w:val="20"/>
        </w:rPr>
        <w:t xml:space="preserve"> deployment. Its technology foundation is built in strategic partnership with NVIDIA and based on the NVIDIA Metropolis platform for industrial video analytics.</w:t>
      </w:r>
    </w:p>
    <w:p w14:paraId="4B805E8C" w14:textId="2F736076" w:rsidR="30D784B5" w:rsidRDefault="30D784B5" w:rsidP="165D6ACA">
      <w:pPr>
        <w:spacing w:line="360" w:lineRule="auto"/>
        <w:rPr>
          <w:rFonts w:ascii="Arial" w:eastAsia="Arial" w:hAnsi="Arial" w:cs="Arial"/>
          <w:sz w:val="20"/>
          <w:szCs w:val="20"/>
        </w:rPr>
      </w:pPr>
      <w:r w:rsidRPr="165D6ACA">
        <w:rPr>
          <w:rFonts w:ascii="Arial" w:eastAsia="Arial" w:hAnsi="Arial" w:cs="Arial"/>
          <w:sz w:val="20"/>
          <w:szCs w:val="20"/>
        </w:rPr>
        <w:t xml:space="preserve">“Warehouse video has historically been used to look backward. AURA Observer changes that by helping organizations understand and act on what is happening in real time,” said Peter Bollinger, CEO of EPG. “By turning physical warehouse activity into structured execution intelligence, we are helping organizations improve safety, reduce blind spots, and move toward </w:t>
      </w:r>
      <w:r w:rsidR="3447B843" w:rsidRPr="165D6ACA">
        <w:rPr>
          <w:rFonts w:ascii="Arial" w:eastAsia="Arial" w:hAnsi="Arial" w:cs="Arial"/>
          <w:sz w:val="20"/>
          <w:szCs w:val="20"/>
        </w:rPr>
        <w:t>more transparent, responsive, and increasingly autonomous logistics operations</w:t>
      </w:r>
      <w:r w:rsidRPr="165D6ACA">
        <w:rPr>
          <w:rFonts w:ascii="Arial" w:eastAsia="Arial" w:hAnsi="Arial" w:cs="Arial"/>
          <w:sz w:val="20"/>
          <w:szCs w:val="20"/>
        </w:rPr>
        <w:t xml:space="preserve"> logistics operations. Thank you to SupplyTech Breakthrough for recognizing AURA Observer as the Overall Logistics Innovation of the Year.”</w:t>
      </w:r>
    </w:p>
    <w:p w14:paraId="7DAA60BD" w14:textId="6E849BD3" w:rsidR="30D784B5" w:rsidRDefault="30D784B5" w:rsidP="165D6ACA">
      <w:pPr>
        <w:spacing w:line="360" w:lineRule="auto"/>
        <w:rPr>
          <w:rFonts w:ascii="Arial" w:eastAsia="Arial" w:hAnsi="Arial" w:cs="Arial"/>
          <w:sz w:val="20"/>
          <w:szCs w:val="20"/>
        </w:rPr>
      </w:pPr>
      <w:r w:rsidRPr="165D6ACA">
        <w:rPr>
          <w:rFonts w:ascii="Arial" w:eastAsia="Arial" w:hAnsi="Arial" w:cs="Arial"/>
          <w:sz w:val="20"/>
          <w:szCs w:val="20"/>
        </w:rPr>
        <w:t>“EPG AURA Observer stands out for its ability to make warehouse operations continuously observable, understandable, and actionable,” said Bryan Vaughn, Managing Director of SupplyTech Breakthrough Awards. “As logistics networks become more complex and distributed, organizations need more than dashboards and disconnected camera feeds. AURA Observer gives teams a new way to understand execution as it happens and accelerate smarter, safer logistics operations. We’re pleased to recognize AURA Observer with the ‘Overall Logistics Innovation of the Year’ award.”</w:t>
      </w:r>
    </w:p>
    <w:p w14:paraId="61622E32" w14:textId="628E0705" w:rsidR="497DEE87" w:rsidRDefault="497DEE87" w:rsidP="165D6ACA">
      <w:pPr>
        <w:spacing w:line="360" w:lineRule="auto"/>
        <w:rPr>
          <w:rFonts w:ascii="Arial" w:eastAsia="Arial" w:hAnsi="Arial" w:cs="Arial"/>
          <w:sz w:val="20"/>
          <w:szCs w:val="20"/>
        </w:rPr>
      </w:pPr>
      <w:r w:rsidRPr="165D6ACA">
        <w:rPr>
          <w:rFonts w:ascii="Arial" w:eastAsia="Arial" w:hAnsi="Arial" w:cs="Arial"/>
          <w:sz w:val="20"/>
          <w:szCs w:val="20"/>
        </w:rPr>
        <w:t>Learn more about</w:t>
      </w:r>
      <w:r w:rsidRPr="165D6ACA">
        <w:rPr>
          <w:rFonts w:ascii="Arial" w:eastAsia="Arial" w:hAnsi="Arial" w:cs="Arial"/>
          <w:color w:val="0070C0"/>
          <w:sz w:val="20"/>
          <w:szCs w:val="20"/>
        </w:rPr>
        <w:t xml:space="preserve"> </w:t>
      </w:r>
      <w:hyperlink r:id="rId13">
        <w:r w:rsidRPr="165D6ACA">
          <w:rPr>
            <w:rStyle w:val="Hyperlink"/>
            <w:rFonts w:ascii="Arial" w:eastAsia="Arial" w:hAnsi="Arial" w:cs="Arial"/>
            <w:color w:val="0070C0"/>
            <w:sz w:val="20"/>
            <w:szCs w:val="20"/>
          </w:rPr>
          <w:t>EPG AURA</w:t>
        </w:r>
      </w:hyperlink>
      <w:r w:rsidRPr="165D6ACA">
        <w:rPr>
          <w:rFonts w:ascii="Arial" w:eastAsia="Arial" w:hAnsi="Arial" w:cs="Arial"/>
          <w:sz w:val="20"/>
          <w:szCs w:val="20"/>
        </w:rPr>
        <w:t>, the AI-native environment helping organizations move from visibility to action in real-world warehouse operations.</w:t>
      </w:r>
    </w:p>
    <w:p w14:paraId="6FC7D19D" w14:textId="3463DCC8" w:rsidR="165D6ACA" w:rsidRDefault="165D6ACA" w:rsidP="165D6ACA">
      <w:pPr>
        <w:spacing w:line="360" w:lineRule="auto"/>
        <w:rPr>
          <w:rFonts w:ascii="Arial" w:eastAsia="Arial" w:hAnsi="Arial" w:cs="Arial"/>
          <w:sz w:val="20"/>
          <w:szCs w:val="20"/>
        </w:rPr>
      </w:pPr>
    </w:p>
    <w:p w14:paraId="41AE29A3" w14:textId="1B7141F6" w:rsidR="5D4E9A59" w:rsidRDefault="5D4E9A59" w:rsidP="46A75763">
      <w:pPr>
        <w:spacing w:line="360" w:lineRule="auto"/>
        <w:rPr>
          <w:rFonts w:ascii="Arial" w:eastAsia="Arial" w:hAnsi="Arial" w:cs="Arial"/>
          <w:b/>
          <w:bCs/>
          <w:sz w:val="20"/>
          <w:szCs w:val="20"/>
        </w:rPr>
      </w:pPr>
      <w:r w:rsidRPr="165D6ACA">
        <w:rPr>
          <w:rFonts w:ascii="Arial" w:eastAsia="Arial" w:hAnsi="Arial" w:cs="Arial"/>
          <w:b/>
          <w:bCs/>
          <w:sz w:val="20"/>
          <w:szCs w:val="20"/>
        </w:rPr>
        <w:t xml:space="preserve">About EPG </w:t>
      </w:r>
    </w:p>
    <w:p w14:paraId="69802570" w14:textId="1F7D0438" w:rsidR="43DFA8C1" w:rsidRDefault="43DFA8C1" w:rsidP="165D6ACA">
      <w:pPr>
        <w:spacing w:line="360" w:lineRule="auto"/>
        <w:rPr>
          <w:rFonts w:ascii="Arial" w:eastAsia="Arial" w:hAnsi="Arial" w:cs="Arial"/>
          <w:sz w:val="20"/>
          <w:szCs w:val="20"/>
        </w:rPr>
      </w:pPr>
      <w:r w:rsidRPr="165D6ACA">
        <w:rPr>
          <w:rFonts w:ascii="Arial" w:eastAsia="Arial" w:hAnsi="Arial" w:cs="Arial"/>
          <w:sz w:val="20"/>
          <w:szCs w:val="20"/>
        </w:rPr>
        <w:t xml:space="preserve">Ehrhardt Partner Group (EPG) is a global leader </w:t>
      </w:r>
      <w:bookmarkStart w:id="0" w:name="_Int_rhhAqxFf"/>
      <w:r w:rsidRPr="165D6ACA">
        <w:rPr>
          <w:rFonts w:ascii="Arial" w:eastAsia="Arial" w:hAnsi="Arial" w:cs="Arial"/>
          <w:sz w:val="20"/>
          <w:szCs w:val="20"/>
        </w:rPr>
        <w:t>of</w:t>
      </w:r>
      <w:bookmarkEnd w:id="0"/>
      <w:r w:rsidRPr="165D6ACA">
        <w:rPr>
          <w:rFonts w:ascii="Arial" w:eastAsia="Arial" w:hAnsi="Arial" w:cs="Arial"/>
          <w:sz w:val="20"/>
          <w:szCs w:val="20"/>
        </w:rPr>
        <w:t xml:space="preserve"> unified supply chain execution technology, supporting global brands for over 35 years with smarter connected </w:t>
      </w:r>
      <w:bookmarkStart w:id="1" w:name="_Int_STgToqD9"/>
      <w:r w:rsidRPr="165D6ACA">
        <w:rPr>
          <w:rFonts w:ascii="Arial" w:eastAsia="Arial" w:hAnsi="Arial" w:cs="Arial"/>
          <w:sz w:val="20"/>
          <w:szCs w:val="20"/>
        </w:rPr>
        <w:t>logistics</w:t>
      </w:r>
      <w:bookmarkEnd w:id="1"/>
      <w:r w:rsidRPr="165D6ACA">
        <w:rPr>
          <w:rFonts w:ascii="Arial" w:eastAsia="Arial" w:hAnsi="Arial" w:cs="Arial"/>
          <w:sz w:val="20"/>
          <w:szCs w:val="20"/>
        </w:rPr>
        <w:t>. Over 1,</w:t>
      </w:r>
      <w:r w:rsidR="7987AA7B" w:rsidRPr="165D6ACA">
        <w:rPr>
          <w:rFonts w:ascii="Arial" w:eastAsia="Arial" w:hAnsi="Arial" w:cs="Arial"/>
          <w:sz w:val="20"/>
          <w:szCs w:val="20"/>
        </w:rPr>
        <w:t>6</w:t>
      </w:r>
      <w:r w:rsidRPr="165D6ACA">
        <w:rPr>
          <w:rFonts w:ascii="Arial" w:eastAsia="Arial" w:hAnsi="Arial" w:cs="Arial"/>
          <w:sz w:val="20"/>
          <w:szCs w:val="20"/>
        </w:rPr>
        <w:t xml:space="preserve">00 organizations around the world put their trust in EPG and its suite of solutions to optimize complex </w:t>
      </w:r>
      <w:bookmarkStart w:id="2" w:name="_Int_IQYeLZfF"/>
      <w:r w:rsidRPr="165D6ACA">
        <w:rPr>
          <w:rFonts w:ascii="Arial" w:eastAsia="Arial" w:hAnsi="Arial" w:cs="Arial"/>
          <w:sz w:val="20"/>
          <w:szCs w:val="20"/>
        </w:rPr>
        <w:t>logistics</w:t>
      </w:r>
      <w:bookmarkEnd w:id="2"/>
      <w:r w:rsidRPr="165D6ACA">
        <w:rPr>
          <w:rFonts w:ascii="Arial" w:eastAsia="Arial" w:hAnsi="Arial" w:cs="Arial"/>
          <w:sz w:val="20"/>
          <w:szCs w:val="20"/>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bookmarkStart w:id="3" w:name="_Int_olwPYrZv"/>
      <w:r w:rsidRPr="165D6ACA">
        <w:rPr>
          <w:rFonts w:ascii="Arial" w:eastAsia="Arial" w:hAnsi="Arial" w:cs="Arial"/>
          <w:sz w:val="20"/>
          <w:szCs w:val="20"/>
        </w:rPr>
        <w:t>logistics</w:t>
      </w:r>
      <w:bookmarkEnd w:id="3"/>
      <w:r w:rsidRPr="165D6ACA">
        <w:rPr>
          <w:rFonts w:ascii="Arial" w:eastAsia="Arial" w:hAnsi="Arial" w:cs="Arial"/>
          <w:sz w:val="20"/>
          <w:szCs w:val="20"/>
        </w:rPr>
        <w:t xml:space="preserve"> management from end-to-end. To learn how EPG powers </w:t>
      </w:r>
      <w:bookmarkStart w:id="4" w:name="_Int_dmplXxBu"/>
      <w:r w:rsidRPr="165D6ACA">
        <w:rPr>
          <w:rFonts w:ascii="Arial" w:eastAsia="Arial" w:hAnsi="Arial" w:cs="Arial"/>
          <w:sz w:val="20"/>
          <w:szCs w:val="20"/>
        </w:rPr>
        <w:t>smarter connect logistics</w:t>
      </w:r>
      <w:bookmarkEnd w:id="4"/>
      <w:r w:rsidRPr="165D6ACA">
        <w:rPr>
          <w:rFonts w:ascii="Arial" w:eastAsia="Arial" w:hAnsi="Arial" w:cs="Arial"/>
          <w:sz w:val="20"/>
          <w:szCs w:val="20"/>
        </w:rPr>
        <w:t xml:space="preserve"> for organizations worldwide, visit </w:t>
      </w:r>
      <w:hyperlink r:id="rId14">
        <w:r w:rsidRPr="165D6ACA">
          <w:rPr>
            <w:rStyle w:val="Hyperlink"/>
            <w:rFonts w:ascii="Arial" w:eastAsia="Arial" w:hAnsi="Arial" w:cs="Arial"/>
            <w:color w:val="0070C0"/>
            <w:sz w:val="20"/>
            <w:szCs w:val="20"/>
          </w:rPr>
          <w:t>epg.com</w:t>
        </w:r>
      </w:hyperlink>
      <w:r w:rsidR="0CEC48EC" w:rsidRPr="165D6ACA">
        <w:rPr>
          <w:rFonts w:ascii="Arial" w:eastAsia="Arial" w:hAnsi="Arial" w:cs="Arial"/>
          <w:sz w:val="20"/>
          <w:szCs w:val="20"/>
        </w:rPr>
        <w:t>.</w:t>
      </w:r>
    </w:p>
    <w:p w14:paraId="1DF4BE89" w14:textId="69A835FB" w:rsidR="5D4E9A59" w:rsidRDefault="5D4E9A59" w:rsidP="46A75763">
      <w:pPr>
        <w:spacing w:line="360" w:lineRule="auto"/>
        <w:rPr>
          <w:rFonts w:ascii="Arial" w:eastAsia="Arial" w:hAnsi="Arial" w:cs="Arial"/>
          <w:b/>
          <w:bCs/>
          <w:sz w:val="20"/>
          <w:szCs w:val="20"/>
        </w:rPr>
      </w:pPr>
      <w:r w:rsidRPr="165D6ACA">
        <w:rPr>
          <w:rFonts w:ascii="Arial" w:eastAsia="Arial" w:hAnsi="Arial" w:cs="Arial"/>
          <w:b/>
          <w:bCs/>
          <w:sz w:val="20"/>
          <w:szCs w:val="20"/>
        </w:rPr>
        <w:t xml:space="preserve">About SupplyTech Breakthrough </w:t>
      </w:r>
    </w:p>
    <w:p w14:paraId="7C595436" w14:textId="0138B7B7" w:rsidR="5D4E9A59" w:rsidRDefault="43DFA8C1" w:rsidP="165D6ACA">
      <w:pPr>
        <w:spacing w:line="360" w:lineRule="auto"/>
        <w:rPr>
          <w:rFonts w:ascii="Arial" w:eastAsia="Arial" w:hAnsi="Arial" w:cs="Arial"/>
          <w:sz w:val="20"/>
          <w:szCs w:val="20"/>
        </w:rPr>
      </w:pPr>
      <w:r w:rsidRPr="165D6ACA">
        <w:rPr>
          <w:rFonts w:ascii="Arial" w:eastAsia="Arial" w:hAnsi="Arial" w:cs="Arial"/>
          <w:sz w:val="20"/>
          <w:szCs w:val="20"/>
        </w:rPr>
        <w:t xml:space="preserve">Part of the Tech Breakthrough organization, a leading global provider of market intelligence and recognition platforms for technology innovation and leadership, the SupplyTech Breakthrough Awards program is devoted to honoring innovation and market disruption in supply chain &amp; </w:t>
      </w:r>
      <w:bookmarkStart w:id="5" w:name="_Int_AMPuh7qu"/>
      <w:r w:rsidRPr="165D6ACA">
        <w:rPr>
          <w:rFonts w:ascii="Arial" w:eastAsia="Arial" w:hAnsi="Arial" w:cs="Arial"/>
          <w:sz w:val="20"/>
          <w:szCs w:val="20"/>
        </w:rPr>
        <w:t>logistics</w:t>
      </w:r>
      <w:bookmarkEnd w:id="5"/>
      <w:r w:rsidRPr="165D6ACA">
        <w:rPr>
          <w:rFonts w:ascii="Arial" w:eastAsia="Arial" w:hAnsi="Arial" w:cs="Arial"/>
          <w:sz w:val="20"/>
          <w:szCs w:val="20"/>
        </w:rPr>
        <w:t xml:space="preserve"> technologies, services, </w:t>
      </w:r>
      <w:r w:rsidR="706987D5" w:rsidRPr="165D6ACA">
        <w:rPr>
          <w:rFonts w:ascii="Arial" w:eastAsia="Arial" w:hAnsi="Arial" w:cs="Arial"/>
          <w:sz w:val="20"/>
          <w:szCs w:val="20"/>
        </w:rPr>
        <w:t>companies,</w:t>
      </w:r>
      <w:r w:rsidRPr="165D6ACA">
        <w:rPr>
          <w:rFonts w:ascii="Arial" w:eastAsia="Arial" w:hAnsi="Arial" w:cs="Arial"/>
          <w:sz w:val="20"/>
          <w:szCs w:val="20"/>
        </w:rPr>
        <w:t xml:space="preserve"> and products around the world. The annual SupplyTech Breakthrough Awards provide public recognition for the achievements of SupplyTech companies and products in categories including Inventory Management, Supply Chain Visibility, Transportation Management, Material Handling, IoT and Robotics, and more. For more information visit </w:t>
      </w:r>
      <w:hyperlink r:id="rId15">
        <w:r w:rsidRPr="165D6ACA">
          <w:rPr>
            <w:rStyle w:val="Hyperlink"/>
            <w:rFonts w:ascii="Arial" w:eastAsia="Arial" w:hAnsi="Arial" w:cs="Arial"/>
            <w:color w:val="0070C0"/>
            <w:sz w:val="20"/>
            <w:szCs w:val="20"/>
          </w:rPr>
          <w:t>SupplyTechBreakthrough.com</w:t>
        </w:r>
        <w:r w:rsidR="519F7E21" w:rsidRPr="165D6ACA">
          <w:rPr>
            <w:rStyle w:val="Hyperlink"/>
            <w:rFonts w:ascii="Arial" w:eastAsia="Arial" w:hAnsi="Arial" w:cs="Arial"/>
            <w:color w:val="0070C0"/>
            <w:sz w:val="20"/>
            <w:szCs w:val="20"/>
          </w:rPr>
          <w:t>.</w:t>
        </w:r>
      </w:hyperlink>
    </w:p>
    <w:p w14:paraId="14F785E7" w14:textId="3834D3D5" w:rsidR="43018509" w:rsidRDefault="43018509" w:rsidP="43018509">
      <w:pPr>
        <w:spacing w:line="360" w:lineRule="auto"/>
        <w:rPr>
          <w:rFonts w:ascii="Arial" w:eastAsia="Arial" w:hAnsi="Arial" w:cs="Arial"/>
          <w:b/>
          <w:bCs/>
          <w:sz w:val="20"/>
          <w:szCs w:val="20"/>
        </w:rPr>
      </w:pPr>
    </w:p>
    <w:p w14:paraId="0352BE71" w14:textId="74F1D94E" w:rsidR="4BAC87E1" w:rsidRDefault="4BAC87E1" w:rsidP="43018509">
      <w:pPr>
        <w:spacing w:line="360" w:lineRule="auto"/>
        <w:rPr>
          <w:rFonts w:ascii="Arial" w:eastAsia="Arial" w:hAnsi="Arial" w:cs="Arial"/>
          <w:sz w:val="20"/>
          <w:szCs w:val="20"/>
        </w:rPr>
      </w:pPr>
      <w:r w:rsidRPr="165D6ACA">
        <w:rPr>
          <w:rFonts w:ascii="Arial" w:eastAsia="Arial" w:hAnsi="Arial" w:cs="Arial"/>
          <w:b/>
          <w:bCs/>
          <w:sz w:val="20"/>
          <w:szCs w:val="20"/>
        </w:rPr>
        <w:t>Media Contact</w:t>
      </w:r>
      <w:r>
        <w:br/>
      </w:r>
      <w:r w:rsidRPr="165D6ACA">
        <w:rPr>
          <w:rFonts w:ascii="Arial" w:eastAsia="Arial" w:hAnsi="Arial" w:cs="Arial"/>
          <w:sz w:val="20"/>
          <w:szCs w:val="20"/>
        </w:rPr>
        <w:t>Lindsay Schuemann</w:t>
      </w:r>
      <w:r>
        <w:br/>
      </w:r>
      <w:r w:rsidRPr="165D6ACA">
        <w:rPr>
          <w:rFonts w:ascii="Arial" w:eastAsia="Arial" w:hAnsi="Arial" w:cs="Arial"/>
          <w:sz w:val="20"/>
          <w:szCs w:val="20"/>
        </w:rPr>
        <w:t>Director of Marketing, Americas</w:t>
      </w:r>
      <w:r>
        <w:br/>
      </w:r>
      <w:hyperlink r:id="rId16">
        <w:r w:rsidRPr="165D6ACA">
          <w:rPr>
            <w:rStyle w:val="Hyperlink"/>
            <w:rFonts w:ascii="Arial" w:eastAsia="Arial" w:hAnsi="Arial" w:cs="Arial"/>
            <w:color w:val="0070C0"/>
            <w:sz w:val="20"/>
            <w:szCs w:val="20"/>
          </w:rPr>
          <w:t>lindsay.schuemann@epg.com</w:t>
        </w:r>
        <w:r>
          <w:br/>
        </w:r>
      </w:hyperlink>
      <w:r w:rsidRPr="165D6ACA">
        <w:rPr>
          <w:rFonts w:ascii="Arial" w:eastAsia="Arial" w:hAnsi="Arial" w:cs="Arial"/>
          <w:sz w:val="20"/>
          <w:szCs w:val="20"/>
        </w:rPr>
        <w:t>(414) 559-8995</w:t>
      </w:r>
    </w:p>
    <w:sectPr w:rsidR="4BAC87E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D199" w14:textId="77777777" w:rsidR="00F32437" w:rsidRDefault="00F32437">
      <w:pPr>
        <w:spacing w:after="0" w:line="240" w:lineRule="auto"/>
        <w:rPr>
          <w:rFonts w:hint="eastAsia"/>
        </w:rPr>
      </w:pPr>
      <w:r>
        <w:separator/>
      </w:r>
    </w:p>
  </w:endnote>
  <w:endnote w:type="continuationSeparator" w:id="0">
    <w:p w14:paraId="3A0261CE" w14:textId="77777777" w:rsidR="00F32437" w:rsidRDefault="00F3243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3B7F9D44" w14:textId="77777777" w:rsidTr="46A75763">
      <w:trPr>
        <w:trHeight w:val="300"/>
      </w:trPr>
      <w:tc>
        <w:tcPr>
          <w:tcW w:w="3120" w:type="dxa"/>
        </w:tcPr>
        <w:p w14:paraId="31BA001E" w14:textId="704AB6F5" w:rsidR="46A75763" w:rsidRDefault="46A75763" w:rsidP="46A75763">
          <w:pPr>
            <w:pStyle w:val="Header"/>
            <w:ind w:left="-115"/>
            <w:rPr>
              <w:rFonts w:hint="eastAsia"/>
            </w:rPr>
          </w:pPr>
        </w:p>
      </w:tc>
      <w:tc>
        <w:tcPr>
          <w:tcW w:w="3120" w:type="dxa"/>
        </w:tcPr>
        <w:p w14:paraId="1D6B0E01" w14:textId="65A87A2B" w:rsidR="46A75763" w:rsidRDefault="46A75763" w:rsidP="46A75763">
          <w:pPr>
            <w:pStyle w:val="Header"/>
            <w:jc w:val="center"/>
            <w:rPr>
              <w:rFonts w:hint="eastAsia"/>
            </w:rPr>
          </w:pPr>
        </w:p>
      </w:tc>
      <w:tc>
        <w:tcPr>
          <w:tcW w:w="3120" w:type="dxa"/>
        </w:tcPr>
        <w:p w14:paraId="66ED1670" w14:textId="56CD1C16" w:rsidR="46A75763" w:rsidRDefault="46A75763" w:rsidP="46A75763">
          <w:pPr>
            <w:pStyle w:val="Header"/>
            <w:ind w:right="-115"/>
            <w:jc w:val="right"/>
            <w:rPr>
              <w:rFonts w:hint="eastAsia"/>
            </w:rPr>
          </w:pPr>
        </w:p>
      </w:tc>
    </w:tr>
  </w:tbl>
  <w:p w14:paraId="38FBDE09" w14:textId="06C076A9" w:rsidR="46A75763" w:rsidRDefault="46A75763" w:rsidP="46A75763">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1AEAB" w14:textId="77777777" w:rsidR="00F32437" w:rsidRDefault="00F32437">
      <w:pPr>
        <w:spacing w:after="0" w:line="240" w:lineRule="auto"/>
        <w:rPr>
          <w:rFonts w:hint="eastAsia"/>
        </w:rPr>
      </w:pPr>
      <w:r>
        <w:separator/>
      </w:r>
    </w:p>
  </w:footnote>
  <w:footnote w:type="continuationSeparator" w:id="0">
    <w:p w14:paraId="3BF2F11D" w14:textId="77777777" w:rsidR="00F32437" w:rsidRDefault="00F32437">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634E9A6C" w14:textId="77777777" w:rsidTr="46A75763">
      <w:trPr>
        <w:trHeight w:val="300"/>
      </w:trPr>
      <w:tc>
        <w:tcPr>
          <w:tcW w:w="3120" w:type="dxa"/>
        </w:tcPr>
        <w:p w14:paraId="7157434B" w14:textId="3E6A5736" w:rsidR="46A75763" w:rsidRDefault="46A75763" w:rsidP="46A75763">
          <w:pPr>
            <w:ind w:left="-115"/>
            <w:rPr>
              <w:rFonts w:hint="eastAsia"/>
            </w:rPr>
          </w:pPr>
          <w:r>
            <w:br/>
          </w:r>
          <w:r>
            <w:br/>
          </w:r>
          <w:r w:rsidRPr="46A75763">
            <w:rPr>
              <w:rStyle w:val="normaltextrun"/>
              <w:b/>
              <w:bCs/>
              <w:color w:val="7F7F7F" w:themeColor="text1" w:themeTint="80"/>
              <w:sz w:val="31"/>
              <w:szCs w:val="31"/>
              <w:lang w:val="de-DE"/>
            </w:rPr>
            <w:t>Press Release</w:t>
          </w:r>
        </w:p>
      </w:tc>
      <w:tc>
        <w:tcPr>
          <w:tcW w:w="3120" w:type="dxa"/>
        </w:tcPr>
        <w:p w14:paraId="3EE6DE7A" w14:textId="65A37F6F" w:rsidR="46A75763" w:rsidRDefault="46A75763" w:rsidP="46A75763">
          <w:pPr>
            <w:pStyle w:val="Header"/>
            <w:jc w:val="center"/>
            <w:rPr>
              <w:rFonts w:hint="eastAsia"/>
            </w:rPr>
          </w:pPr>
        </w:p>
      </w:tc>
      <w:tc>
        <w:tcPr>
          <w:tcW w:w="3120" w:type="dxa"/>
        </w:tcPr>
        <w:p w14:paraId="2A31F0A3" w14:textId="5B525E70" w:rsidR="46A75763" w:rsidRDefault="46A75763" w:rsidP="46A75763">
          <w:pPr>
            <w:ind w:right="-115"/>
            <w:jc w:val="right"/>
            <w:rPr>
              <w:rFonts w:hint="eastAsia"/>
            </w:rPr>
          </w:pPr>
          <w:r>
            <w:br/>
          </w:r>
          <w:r>
            <w:rPr>
              <w:noProof/>
            </w:rPr>
            <w:drawing>
              <wp:inline distT="0" distB="0" distL="0" distR="0" wp14:anchorId="5848FFDA" wp14:editId="6DB774E6">
                <wp:extent cx="1260764" cy="571893"/>
                <wp:effectExtent l="0" t="0" r="0" b="0"/>
                <wp:docPr id="69738006" name="Picture 69738006">
                  <a:extLst xmlns:a="http://schemas.openxmlformats.org/drawingml/2006/main">
                    <a:ext uri="{FF2B5EF4-FFF2-40B4-BE49-F238E27FC236}">
                      <a16:creationId xmlns:a16="http://schemas.microsoft.com/office/drawing/2014/main" id="{E33B1112-910F-4F50-A1C1-D99244B3F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14:paraId="511A4B08" w14:textId="1CA2F01A" w:rsidR="46A75763" w:rsidRDefault="46A75763" w:rsidP="46A75763">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CB0A"/>
    <w:multiLevelType w:val="hybridMultilevel"/>
    <w:tmpl w:val="FFFFFFFF"/>
    <w:lvl w:ilvl="0" w:tplc="15DAC5A4">
      <w:start w:val="1"/>
      <w:numFmt w:val="bullet"/>
      <w:lvlText w:val=""/>
      <w:lvlJc w:val="left"/>
      <w:pPr>
        <w:ind w:left="720" w:hanging="360"/>
      </w:pPr>
      <w:rPr>
        <w:rFonts w:ascii="Symbol" w:hAnsi="Symbol" w:hint="default"/>
      </w:rPr>
    </w:lvl>
    <w:lvl w:ilvl="1" w:tplc="CD1427F0">
      <w:start w:val="1"/>
      <w:numFmt w:val="bullet"/>
      <w:lvlText w:val="o"/>
      <w:lvlJc w:val="left"/>
      <w:pPr>
        <w:ind w:left="1440" w:hanging="360"/>
      </w:pPr>
      <w:rPr>
        <w:rFonts w:ascii="Courier New" w:hAnsi="Courier New" w:hint="default"/>
      </w:rPr>
    </w:lvl>
    <w:lvl w:ilvl="2" w:tplc="9BB04596">
      <w:start w:val="1"/>
      <w:numFmt w:val="bullet"/>
      <w:lvlText w:val=""/>
      <w:lvlJc w:val="left"/>
      <w:pPr>
        <w:ind w:left="2160" w:hanging="360"/>
      </w:pPr>
      <w:rPr>
        <w:rFonts w:ascii="Wingdings" w:hAnsi="Wingdings" w:hint="default"/>
      </w:rPr>
    </w:lvl>
    <w:lvl w:ilvl="3" w:tplc="FD60F854">
      <w:start w:val="1"/>
      <w:numFmt w:val="bullet"/>
      <w:lvlText w:val=""/>
      <w:lvlJc w:val="left"/>
      <w:pPr>
        <w:ind w:left="2880" w:hanging="360"/>
      </w:pPr>
      <w:rPr>
        <w:rFonts w:ascii="Symbol" w:hAnsi="Symbol" w:hint="default"/>
      </w:rPr>
    </w:lvl>
    <w:lvl w:ilvl="4" w:tplc="752A5948">
      <w:start w:val="1"/>
      <w:numFmt w:val="bullet"/>
      <w:lvlText w:val="o"/>
      <w:lvlJc w:val="left"/>
      <w:pPr>
        <w:ind w:left="3600" w:hanging="360"/>
      </w:pPr>
      <w:rPr>
        <w:rFonts w:ascii="Courier New" w:hAnsi="Courier New" w:hint="default"/>
      </w:rPr>
    </w:lvl>
    <w:lvl w:ilvl="5" w:tplc="B866C70E">
      <w:start w:val="1"/>
      <w:numFmt w:val="bullet"/>
      <w:lvlText w:val=""/>
      <w:lvlJc w:val="left"/>
      <w:pPr>
        <w:ind w:left="4320" w:hanging="360"/>
      </w:pPr>
      <w:rPr>
        <w:rFonts w:ascii="Wingdings" w:hAnsi="Wingdings" w:hint="default"/>
      </w:rPr>
    </w:lvl>
    <w:lvl w:ilvl="6" w:tplc="00FE4F86">
      <w:start w:val="1"/>
      <w:numFmt w:val="bullet"/>
      <w:lvlText w:val=""/>
      <w:lvlJc w:val="left"/>
      <w:pPr>
        <w:ind w:left="5040" w:hanging="360"/>
      </w:pPr>
      <w:rPr>
        <w:rFonts w:ascii="Symbol" w:hAnsi="Symbol" w:hint="default"/>
      </w:rPr>
    </w:lvl>
    <w:lvl w:ilvl="7" w:tplc="439066A6">
      <w:start w:val="1"/>
      <w:numFmt w:val="bullet"/>
      <w:lvlText w:val="o"/>
      <w:lvlJc w:val="left"/>
      <w:pPr>
        <w:ind w:left="5760" w:hanging="360"/>
      </w:pPr>
      <w:rPr>
        <w:rFonts w:ascii="Courier New" w:hAnsi="Courier New" w:hint="default"/>
      </w:rPr>
    </w:lvl>
    <w:lvl w:ilvl="8" w:tplc="7B7CC2B6">
      <w:start w:val="1"/>
      <w:numFmt w:val="bullet"/>
      <w:lvlText w:val=""/>
      <w:lvlJc w:val="left"/>
      <w:pPr>
        <w:ind w:left="6480" w:hanging="360"/>
      </w:pPr>
      <w:rPr>
        <w:rFonts w:ascii="Wingdings" w:hAnsi="Wingdings" w:hint="default"/>
      </w:rPr>
    </w:lvl>
  </w:abstractNum>
  <w:abstractNum w:abstractNumId="1" w15:restartNumberingAfterBreak="0">
    <w:nsid w:val="33ADCB0D"/>
    <w:multiLevelType w:val="hybridMultilevel"/>
    <w:tmpl w:val="FFFFFFFF"/>
    <w:lvl w:ilvl="0" w:tplc="CC742D32">
      <w:start w:val="1"/>
      <w:numFmt w:val="bullet"/>
      <w:lvlText w:val=""/>
      <w:lvlJc w:val="left"/>
      <w:pPr>
        <w:ind w:left="720" w:hanging="360"/>
      </w:pPr>
      <w:rPr>
        <w:rFonts w:ascii="Symbol" w:hAnsi="Symbol" w:hint="default"/>
      </w:rPr>
    </w:lvl>
    <w:lvl w:ilvl="1" w:tplc="659692CE">
      <w:start w:val="1"/>
      <w:numFmt w:val="bullet"/>
      <w:lvlText w:val="o"/>
      <w:lvlJc w:val="left"/>
      <w:pPr>
        <w:ind w:left="1440" w:hanging="360"/>
      </w:pPr>
      <w:rPr>
        <w:rFonts w:ascii="Courier New" w:hAnsi="Courier New" w:hint="default"/>
      </w:rPr>
    </w:lvl>
    <w:lvl w:ilvl="2" w:tplc="75862B54">
      <w:start w:val="1"/>
      <w:numFmt w:val="bullet"/>
      <w:lvlText w:val=""/>
      <w:lvlJc w:val="left"/>
      <w:pPr>
        <w:ind w:left="2160" w:hanging="360"/>
      </w:pPr>
      <w:rPr>
        <w:rFonts w:ascii="Wingdings" w:hAnsi="Wingdings" w:hint="default"/>
      </w:rPr>
    </w:lvl>
    <w:lvl w:ilvl="3" w:tplc="B8E49EB6">
      <w:start w:val="1"/>
      <w:numFmt w:val="bullet"/>
      <w:lvlText w:val=""/>
      <w:lvlJc w:val="left"/>
      <w:pPr>
        <w:ind w:left="2880" w:hanging="360"/>
      </w:pPr>
      <w:rPr>
        <w:rFonts w:ascii="Symbol" w:hAnsi="Symbol" w:hint="default"/>
      </w:rPr>
    </w:lvl>
    <w:lvl w:ilvl="4" w:tplc="2F344CB0">
      <w:start w:val="1"/>
      <w:numFmt w:val="bullet"/>
      <w:lvlText w:val="o"/>
      <w:lvlJc w:val="left"/>
      <w:pPr>
        <w:ind w:left="3600" w:hanging="360"/>
      </w:pPr>
      <w:rPr>
        <w:rFonts w:ascii="Courier New" w:hAnsi="Courier New" w:hint="default"/>
      </w:rPr>
    </w:lvl>
    <w:lvl w:ilvl="5" w:tplc="6256F4CE">
      <w:start w:val="1"/>
      <w:numFmt w:val="bullet"/>
      <w:lvlText w:val=""/>
      <w:lvlJc w:val="left"/>
      <w:pPr>
        <w:ind w:left="4320" w:hanging="360"/>
      </w:pPr>
      <w:rPr>
        <w:rFonts w:ascii="Wingdings" w:hAnsi="Wingdings" w:hint="default"/>
      </w:rPr>
    </w:lvl>
    <w:lvl w:ilvl="6" w:tplc="0882B2E0">
      <w:start w:val="1"/>
      <w:numFmt w:val="bullet"/>
      <w:lvlText w:val=""/>
      <w:lvlJc w:val="left"/>
      <w:pPr>
        <w:ind w:left="5040" w:hanging="360"/>
      </w:pPr>
      <w:rPr>
        <w:rFonts w:ascii="Symbol" w:hAnsi="Symbol" w:hint="default"/>
      </w:rPr>
    </w:lvl>
    <w:lvl w:ilvl="7" w:tplc="E68C1CE8">
      <w:start w:val="1"/>
      <w:numFmt w:val="bullet"/>
      <w:lvlText w:val="o"/>
      <w:lvlJc w:val="left"/>
      <w:pPr>
        <w:ind w:left="5760" w:hanging="360"/>
      </w:pPr>
      <w:rPr>
        <w:rFonts w:ascii="Courier New" w:hAnsi="Courier New" w:hint="default"/>
      </w:rPr>
    </w:lvl>
    <w:lvl w:ilvl="8" w:tplc="400ED772">
      <w:start w:val="1"/>
      <w:numFmt w:val="bullet"/>
      <w:lvlText w:val=""/>
      <w:lvlJc w:val="left"/>
      <w:pPr>
        <w:ind w:left="6480" w:hanging="360"/>
      </w:pPr>
      <w:rPr>
        <w:rFonts w:ascii="Wingdings" w:hAnsi="Wingdings" w:hint="default"/>
      </w:rPr>
    </w:lvl>
  </w:abstractNum>
  <w:abstractNum w:abstractNumId="2" w15:restartNumberingAfterBreak="0">
    <w:nsid w:val="3B23D9C1"/>
    <w:multiLevelType w:val="hybridMultilevel"/>
    <w:tmpl w:val="FFFFFFFF"/>
    <w:lvl w:ilvl="0" w:tplc="66C27E96">
      <w:start w:val="1"/>
      <w:numFmt w:val="bullet"/>
      <w:lvlText w:val=""/>
      <w:lvlJc w:val="left"/>
      <w:pPr>
        <w:ind w:left="720" w:hanging="360"/>
      </w:pPr>
      <w:rPr>
        <w:rFonts w:ascii="Symbol" w:hAnsi="Symbol" w:hint="default"/>
      </w:rPr>
    </w:lvl>
    <w:lvl w:ilvl="1" w:tplc="CD0CF5E4">
      <w:start w:val="1"/>
      <w:numFmt w:val="bullet"/>
      <w:lvlText w:val="o"/>
      <w:lvlJc w:val="left"/>
      <w:pPr>
        <w:ind w:left="1440" w:hanging="360"/>
      </w:pPr>
      <w:rPr>
        <w:rFonts w:ascii="Courier New" w:hAnsi="Courier New" w:hint="default"/>
      </w:rPr>
    </w:lvl>
    <w:lvl w:ilvl="2" w:tplc="CAFCDC4A">
      <w:start w:val="1"/>
      <w:numFmt w:val="bullet"/>
      <w:lvlText w:val=""/>
      <w:lvlJc w:val="left"/>
      <w:pPr>
        <w:ind w:left="2160" w:hanging="360"/>
      </w:pPr>
      <w:rPr>
        <w:rFonts w:ascii="Wingdings" w:hAnsi="Wingdings" w:hint="default"/>
      </w:rPr>
    </w:lvl>
    <w:lvl w:ilvl="3" w:tplc="A34635F0">
      <w:start w:val="1"/>
      <w:numFmt w:val="bullet"/>
      <w:lvlText w:val=""/>
      <w:lvlJc w:val="left"/>
      <w:pPr>
        <w:ind w:left="2880" w:hanging="360"/>
      </w:pPr>
      <w:rPr>
        <w:rFonts w:ascii="Symbol" w:hAnsi="Symbol" w:hint="default"/>
      </w:rPr>
    </w:lvl>
    <w:lvl w:ilvl="4" w:tplc="8B1E8CCC">
      <w:start w:val="1"/>
      <w:numFmt w:val="bullet"/>
      <w:lvlText w:val="o"/>
      <w:lvlJc w:val="left"/>
      <w:pPr>
        <w:ind w:left="3600" w:hanging="360"/>
      </w:pPr>
      <w:rPr>
        <w:rFonts w:ascii="Courier New" w:hAnsi="Courier New" w:hint="default"/>
      </w:rPr>
    </w:lvl>
    <w:lvl w:ilvl="5" w:tplc="E2EC371A">
      <w:start w:val="1"/>
      <w:numFmt w:val="bullet"/>
      <w:lvlText w:val=""/>
      <w:lvlJc w:val="left"/>
      <w:pPr>
        <w:ind w:left="4320" w:hanging="360"/>
      </w:pPr>
      <w:rPr>
        <w:rFonts w:ascii="Wingdings" w:hAnsi="Wingdings" w:hint="default"/>
      </w:rPr>
    </w:lvl>
    <w:lvl w:ilvl="6" w:tplc="56A675A8">
      <w:start w:val="1"/>
      <w:numFmt w:val="bullet"/>
      <w:lvlText w:val=""/>
      <w:lvlJc w:val="left"/>
      <w:pPr>
        <w:ind w:left="5040" w:hanging="360"/>
      </w:pPr>
      <w:rPr>
        <w:rFonts w:ascii="Symbol" w:hAnsi="Symbol" w:hint="default"/>
      </w:rPr>
    </w:lvl>
    <w:lvl w:ilvl="7" w:tplc="101C7E46">
      <w:start w:val="1"/>
      <w:numFmt w:val="bullet"/>
      <w:lvlText w:val="o"/>
      <w:lvlJc w:val="left"/>
      <w:pPr>
        <w:ind w:left="5760" w:hanging="360"/>
      </w:pPr>
      <w:rPr>
        <w:rFonts w:ascii="Courier New" w:hAnsi="Courier New" w:hint="default"/>
      </w:rPr>
    </w:lvl>
    <w:lvl w:ilvl="8" w:tplc="AC329DF8">
      <w:start w:val="1"/>
      <w:numFmt w:val="bullet"/>
      <w:lvlText w:val=""/>
      <w:lvlJc w:val="left"/>
      <w:pPr>
        <w:ind w:left="6480" w:hanging="360"/>
      </w:pPr>
      <w:rPr>
        <w:rFonts w:ascii="Wingdings" w:hAnsi="Wingdings" w:hint="default"/>
      </w:rPr>
    </w:lvl>
  </w:abstractNum>
  <w:abstractNum w:abstractNumId="3" w15:restartNumberingAfterBreak="0">
    <w:nsid w:val="590AE3F4"/>
    <w:multiLevelType w:val="hybridMultilevel"/>
    <w:tmpl w:val="FFFFFFFF"/>
    <w:lvl w:ilvl="0" w:tplc="118EC5EA">
      <w:start w:val="1"/>
      <w:numFmt w:val="bullet"/>
      <w:lvlText w:val=""/>
      <w:lvlJc w:val="left"/>
      <w:pPr>
        <w:ind w:left="720" w:hanging="360"/>
      </w:pPr>
      <w:rPr>
        <w:rFonts w:ascii="Symbol" w:hAnsi="Symbol" w:hint="default"/>
      </w:rPr>
    </w:lvl>
    <w:lvl w:ilvl="1" w:tplc="23FA7BE4">
      <w:start w:val="1"/>
      <w:numFmt w:val="bullet"/>
      <w:lvlText w:val="o"/>
      <w:lvlJc w:val="left"/>
      <w:pPr>
        <w:ind w:left="1440" w:hanging="360"/>
      </w:pPr>
      <w:rPr>
        <w:rFonts w:ascii="Courier New" w:hAnsi="Courier New" w:hint="default"/>
      </w:rPr>
    </w:lvl>
    <w:lvl w:ilvl="2" w:tplc="611A8CF4">
      <w:start w:val="1"/>
      <w:numFmt w:val="bullet"/>
      <w:lvlText w:val=""/>
      <w:lvlJc w:val="left"/>
      <w:pPr>
        <w:ind w:left="2160" w:hanging="360"/>
      </w:pPr>
      <w:rPr>
        <w:rFonts w:ascii="Wingdings" w:hAnsi="Wingdings" w:hint="default"/>
      </w:rPr>
    </w:lvl>
    <w:lvl w:ilvl="3" w:tplc="002610F4">
      <w:start w:val="1"/>
      <w:numFmt w:val="bullet"/>
      <w:lvlText w:val=""/>
      <w:lvlJc w:val="left"/>
      <w:pPr>
        <w:ind w:left="2880" w:hanging="360"/>
      </w:pPr>
      <w:rPr>
        <w:rFonts w:ascii="Symbol" w:hAnsi="Symbol" w:hint="default"/>
      </w:rPr>
    </w:lvl>
    <w:lvl w:ilvl="4" w:tplc="AEDCD28E">
      <w:start w:val="1"/>
      <w:numFmt w:val="bullet"/>
      <w:lvlText w:val="o"/>
      <w:lvlJc w:val="left"/>
      <w:pPr>
        <w:ind w:left="3600" w:hanging="360"/>
      </w:pPr>
      <w:rPr>
        <w:rFonts w:ascii="Courier New" w:hAnsi="Courier New" w:hint="default"/>
      </w:rPr>
    </w:lvl>
    <w:lvl w:ilvl="5" w:tplc="33A4657E">
      <w:start w:val="1"/>
      <w:numFmt w:val="bullet"/>
      <w:lvlText w:val=""/>
      <w:lvlJc w:val="left"/>
      <w:pPr>
        <w:ind w:left="4320" w:hanging="360"/>
      </w:pPr>
      <w:rPr>
        <w:rFonts w:ascii="Wingdings" w:hAnsi="Wingdings" w:hint="default"/>
      </w:rPr>
    </w:lvl>
    <w:lvl w:ilvl="6" w:tplc="096CBC4E">
      <w:start w:val="1"/>
      <w:numFmt w:val="bullet"/>
      <w:lvlText w:val=""/>
      <w:lvlJc w:val="left"/>
      <w:pPr>
        <w:ind w:left="5040" w:hanging="360"/>
      </w:pPr>
      <w:rPr>
        <w:rFonts w:ascii="Symbol" w:hAnsi="Symbol" w:hint="default"/>
      </w:rPr>
    </w:lvl>
    <w:lvl w:ilvl="7" w:tplc="9508FB98">
      <w:start w:val="1"/>
      <w:numFmt w:val="bullet"/>
      <w:lvlText w:val="o"/>
      <w:lvlJc w:val="left"/>
      <w:pPr>
        <w:ind w:left="5760" w:hanging="360"/>
      </w:pPr>
      <w:rPr>
        <w:rFonts w:ascii="Courier New" w:hAnsi="Courier New" w:hint="default"/>
      </w:rPr>
    </w:lvl>
    <w:lvl w:ilvl="8" w:tplc="78C82854">
      <w:start w:val="1"/>
      <w:numFmt w:val="bullet"/>
      <w:lvlText w:val=""/>
      <w:lvlJc w:val="left"/>
      <w:pPr>
        <w:ind w:left="6480" w:hanging="360"/>
      </w:pPr>
      <w:rPr>
        <w:rFonts w:ascii="Wingdings" w:hAnsi="Wingdings" w:hint="default"/>
      </w:rPr>
    </w:lvl>
  </w:abstractNum>
  <w:num w:numId="1" w16cid:durableId="1179080964">
    <w:abstractNumId w:val="0"/>
  </w:num>
  <w:num w:numId="2" w16cid:durableId="1244296037">
    <w:abstractNumId w:val="3"/>
  </w:num>
  <w:num w:numId="3" w16cid:durableId="1383137291">
    <w:abstractNumId w:val="2"/>
  </w:num>
  <w:num w:numId="4" w16cid:durableId="527842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71256"/>
    <w:rsid w:val="000A053D"/>
    <w:rsid w:val="001364F9"/>
    <w:rsid w:val="001C2E97"/>
    <w:rsid w:val="00305E93"/>
    <w:rsid w:val="00325179"/>
    <w:rsid w:val="004037F8"/>
    <w:rsid w:val="00414FD5"/>
    <w:rsid w:val="00432D9E"/>
    <w:rsid w:val="00561113"/>
    <w:rsid w:val="005C0BA2"/>
    <w:rsid w:val="00633130"/>
    <w:rsid w:val="00666242"/>
    <w:rsid w:val="006F268A"/>
    <w:rsid w:val="006FE365"/>
    <w:rsid w:val="008028F5"/>
    <w:rsid w:val="00910EB9"/>
    <w:rsid w:val="00945DE3"/>
    <w:rsid w:val="009B45D2"/>
    <w:rsid w:val="00A11136"/>
    <w:rsid w:val="00A335F6"/>
    <w:rsid w:val="00A47096"/>
    <w:rsid w:val="00AB199D"/>
    <w:rsid w:val="00AD0419"/>
    <w:rsid w:val="00B37AF9"/>
    <w:rsid w:val="00CD745E"/>
    <w:rsid w:val="00DA10DA"/>
    <w:rsid w:val="00E1146B"/>
    <w:rsid w:val="00EC4E86"/>
    <w:rsid w:val="00ED0152"/>
    <w:rsid w:val="00F15C54"/>
    <w:rsid w:val="00F32437"/>
    <w:rsid w:val="00F754CD"/>
    <w:rsid w:val="00F7694C"/>
    <w:rsid w:val="00FE145D"/>
    <w:rsid w:val="011C46E2"/>
    <w:rsid w:val="0153007C"/>
    <w:rsid w:val="0186E911"/>
    <w:rsid w:val="02AA5301"/>
    <w:rsid w:val="0392DF42"/>
    <w:rsid w:val="050A185D"/>
    <w:rsid w:val="0520B108"/>
    <w:rsid w:val="05817AF7"/>
    <w:rsid w:val="0592E080"/>
    <w:rsid w:val="0625290F"/>
    <w:rsid w:val="063986B7"/>
    <w:rsid w:val="07162988"/>
    <w:rsid w:val="071EB823"/>
    <w:rsid w:val="075C5F19"/>
    <w:rsid w:val="0788B712"/>
    <w:rsid w:val="07B3EFB3"/>
    <w:rsid w:val="0854B821"/>
    <w:rsid w:val="0882B16E"/>
    <w:rsid w:val="08F03D69"/>
    <w:rsid w:val="0A569463"/>
    <w:rsid w:val="0A63789D"/>
    <w:rsid w:val="0ACF2B0D"/>
    <w:rsid w:val="0BC8AB00"/>
    <w:rsid w:val="0BEB6B2B"/>
    <w:rsid w:val="0BF7715E"/>
    <w:rsid w:val="0C549A02"/>
    <w:rsid w:val="0CEC48EC"/>
    <w:rsid w:val="0D5C3E6A"/>
    <w:rsid w:val="0DDEB170"/>
    <w:rsid w:val="0E2F8D82"/>
    <w:rsid w:val="0E7A6AB4"/>
    <w:rsid w:val="0EFEF42A"/>
    <w:rsid w:val="10207937"/>
    <w:rsid w:val="102A9AAE"/>
    <w:rsid w:val="1031D37F"/>
    <w:rsid w:val="108B07B0"/>
    <w:rsid w:val="11228C0F"/>
    <w:rsid w:val="1146A14E"/>
    <w:rsid w:val="13CCEB15"/>
    <w:rsid w:val="15BE6DFB"/>
    <w:rsid w:val="15D09857"/>
    <w:rsid w:val="1656B691"/>
    <w:rsid w:val="165D6ACA"/>
    <w:rsid w:val="18E23774"/>
    <w:rsid w:val="1ABA6FBE"/>
    <w:rsid w:val="1AC0CB7F"/>
    <w:rsid w:val="1B121133"/>
    <w:rsid w:val="1B2E7DF5"/>
    <w:rsid w:val="1B40BFA0"/>
    <w:rsid w:val="1B8492E2"/>
    <w:rsid w:val="1BBD8DD4"/>
    <w:rsid w:val="1D06B3BA"/>
    <w:rsid w:val="1D8DD8D0"/>
    <w:rsid w:val="1E16EB00"/>
    <w:rsid w:val="1F4A4EA3"/>
    <w:rsid w:val="20318B74"/>
    <w:rsid w:val="20BE0ACA"/>
    <w:rsid w:val="22D69469"/>
    <w:rsid w:val="235ACF9E"/>
    <w:rsid w:val="23FCB852"/>
    <w:rsid w:val="25BFE796"/>
    <w:rsid w:val="294EFE9E"/>
    <w:rsid w:val="2A382521"/>
    <w:rsid w:val="2A69DACE"/>
    <w:rsid w:val="2A72FFA2"/>
    <w:rsid w:val="2BB244D6"/>
    <w:rsid w:val="2D7075F0"/>
    <w:rsid w:val="2D7F94D3"/>
    <w:rsid w:val="2E005EB7"/>
    <w:rsid w:val="2E90DB2A"/>
    <w:rsid w:val="2EA40EA3"/>
    <w:rsid w:val="2EAC8427"/>
    <w:rsid w:val="2EB84510"/>
    <w:rsid w:val="30D784B5"/>
    <w:rsid w:val="31995E60"/>
    <w:rsid w:val="321B2BC9"/>
    <w:rsid w:val="32494580"/>
    <w:rsid w:val="328E71DF"/>
    <w:rsid w:val="337E30B1"/>
    <w:rsid w:val="338C81CD"/>
    <w:rsid w:val="3447B843"/>
    <w:rsid w:val="36A173D2"/>
    <w:rsid w:val="3842D82F"/>
    <w:rsid w:val="399BB9FA"/>
    <w:rsid w:val="39A9ED06"/>
    <w:rsid w:val="3A165318"/>
    <w:rsid w:val="3AA12828"/>
    <w:rsid w:val="3AB9B9F3"/>
    <w:rsid w:val="3B9153B4"/>
    <w:rsid w:val="3D048998"/>
    <w:rsid w:val="3D54FE51"/>
    <w:rsid w:val="3ECE8127"/>
    <w:rsid w:val="3F3B45A9"/>
    <w:rsid w:val="3F528E6D"/>
    <w:rsid w:val="401D75BC"/>
    <w:rsid w:val="41EC22A6"/>
    <w:rsid w:val="42585EE4"/>
    <w:rsid w:val="43018509"/>
    <w:rsid w:val="439A2EB9"/>
    <w:rsid w:val="43DFA8C1"/>
    <w:rsid w:val="43E4C0BF"/>
    <w:rsid w:val="4593AF25"/>
    <w:rsid w:val="46A75763"/>
    <w:rsid w:val="46AB6978"/>
    <w:rsid w:val="46FB73DD"/>
    <w:rsid w:val="4731184C"/>
    <w:rsid w:val="47A4348F"/>
    <w:rsid w:val="480B8E4E"/>
    <w:rsid w:val="4818D424"/>
    <w:rsid w:val="48BC68DA"/>
    <w:rsid w:val="48E5B454"/>
    <w:rsid w:val="497DEE87"/>
    <w:rsid w:val="49B86EDF"/>
    <w:rsid w:val="4B280D25"/>
    <w:rsid w:val="4B48170B"/>
    <w:rsid w:val="4B8E766C"/>
    <w:rsid w:val="4B9BF50D"/>
    <w:rsid w:val="4BA0E4A5"/>
    <w:rsid w:val="4BAC87E1"/>
    <w:rsid w:val="4C36A1B6"/>
    <w:rsid w:val="4C8389AD"/>
    <w:rsid w:val="4D65B89B"/>
    <w:rsid w:val="4DEFDFAD"/>
    <w:rsid w:val="4EA25E71"/>
    <w:rsid w:val="4ED2FA26"/>
    <w:rsid w:val="4F55EA6E"/>
    <w:rsid w:val="4FE8B9D7"/>
    <w:rsid w:val="50077704"/>
    <w:rsid w:val="501DA1B0"/>
    <w:rsid w:val="51979F92"/>
    <w:rsid w:val="519F7E21"/>
    <w:rsid w:val="51BA27B6"/>
    <w:rsid w:val="51E4DA8C"/>
    <w:rsid w:val="53259819"/>
    <w:rsid w:val="532DE1E6"/>
    <w:rsid w:val="562335BB"/>
    <w:rsid w:val="5637ABDE"/>
    <w:rsid w:val="572F3DF8"/>
    <w:rsid w:val="57C0DBF6"/>
    <w:rsid w:val="58772F03"/>
    <w:rsid w:val="58A12CCF"/>
    <w:rsid w:val="58E7705E"/>
    <w:rsid w:val="59682BA9"/>
    <w:rsid w:val="5A760A8E"/>
    <w:rsid w:val="5B0B1D85"/>
    <w:rsid w:val="5B3DD8A0"/>
    <w:rsid w:val="5BAA2C49"/>
    <w:rsid w:val="5BDE01AF"/>
    <w:rsid w:val="5C27D80D"/>
    <w:rsid w:val="5C672B75"/>
    <w:rsid w:val="5C71803F"/>
    <w:rsid w:val="5D3CA1B6"/>
    <w:rsid w:val="5D4E9A59"/>
    <w:rsid w:val="5FF173A0"/>
    <w:rsid w:val="601734D9"/>
    <w:rsid w:val="60B49E64"/>
    <w:rsid w:val="616EDA36"/>
    <w:rsid w:val="61A3515E"/>
    <w:rsid w:val="61B462D5"/>
    <w:rsid w:val="61B80D73"/>
    <w:rsid w:val="61D1CC40"/>
    <w:rsid w:val="62253706"/>
    <w:rsid w:val="6268444A"/>
    <w:rsid w:val="62F692A4"/>
    <w:rsid w:val="639D658C"/>
    <w:rsid w:val="64101CBF"/>
    <w:rsid w:val="64DD6402"/>
    <w:rsid w:val="6551F3FF"/>
    <w:rsid w:val="65CF4A08"/>
    <w:rsid w:val="662377CB"/>
    <w:rsid w:val="677799A1"/>
    <w:rsid w:val="684AF9EE"/>
    <w:rsid w:val="699B42E1"/>
    <w:rsid w:val="6B0D9359"/>
    <w:rsid w:val="6BEE09F1"/>
    <w:rsid w:val="6C436ABA"/>
    <w:rsid w:val="6D093D91"/>
    <w:rsid w:val="6D47A8DA"/>
    <w:rsid w:val="6D533E46"/>
    <w:rsid w:val="6DE9E44D"/>
    <w:rsid w:val="6E2CD578"/>
    <w:rsid w:val="6E4E78A1"/>
    <w:rsid w:val="6E608D53"/>
    <w:rsid w:val="6EEFE9FB"/>
    <w:rsid w:val="6EFB518B"/>
    <w:rsid w:val="703C47E5"/>
    <w:rsid w:val="706987D5"/>
    <w:rsid w:val="70C395E6"/>
    <w:rsid w:val="714875F3"/>
    <w:rsid w:val="71509A84"/>
    <w:rsid w:val="7177EA20"/>
    <w:rsid w:val="719363DA"/>
    <w:rsid w:val="72729A32"/>
    <w:rsid w:val="74EE0B9A"/>
    <w:rsid w:val="75A6B00D"/>
    <w:rsid w:val="762EC38B"/>
    <w:rsid w:val="76CC19A7"/>
    <w:rsid w:val="7788AA91"/>
    <w:rsid w:val="7908D190"/>
    <w:rsid w:val="7981F141"/>
    <w:rsid w:val="7987AA7B"/>
    <w:rsid w:val="7A22A2D1"/>
    <w:rsid w:val="7AC31FAA"/>
    <w:rsid w:val="7BF4CD6F"/>
    <w:rsid w:val="7C0C2E65"/>
    <w:rsid w:val="7C2B56B4"/>
    <w:rsid w:val="7CB9253E"/>
    <w:rsid w:val="7CDFABB6"/>
    <w:rsid w:val="7CE61686"/>
    <w:rsid w:val="7DC60A89"/>
    <w:rsid w:val="7E00E820"/>
    <w:rsid w:val="7E74E99C"/>
    <w:rsid w:val="7E91BF3B"/>
    <w:rsid w:val="7ECF73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90EDC44"/>
  <w15:chartTrackingRefBased/>
  <w15:docId w15:val="{716E0F03-1C81-4A25-9072-93F4B3CB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customStyle="1" w:styleId="normaltextrun">
    <w:name w:val="normaltextrun"/>
    <w:basedOn w:val="DefaultParagraphFont"/>
    <w:uiPriority w:val="1"/>
    <w:rsid w:val="46A75763"/>
    <w:rPr>
      <w:rFonts w:ascii="Arial" w:eastAsia="Arial" w:hAnsi="Arial" w:cs="Arial"/>
      <w:sz w:val="22"/>
      <w:szCs w:val="22"/>
    </w:rPr>
  </w:style>
  <w:style w:type="paragraph" w:styleId="ListParagraph">
    <w:name w:val="List Paragraph"/>
    <w:basedOn w:val="Normal"/>
    <w:uiPriority w:val="34"/>
    <w:qFormat/>
    <w:rsid w:val="46A75763"/>
    <w:pPr>
      <w:ind w:left="720"/>
      <w:contextualSpacing/>
    </w:pPr>
  </w:style>
  <w:style w:type="character" w:customStyle="1" w:styleId="eop">
    <w:name w:val="eop"/>
    <w:basedOn w:val="DefaultParagraphFont"/>
    <w:uiPriority w:val="1"/>
    <w:rsid w:val="46A75763"/>
    <w:rPr>
      <w:rFonts w:ascii="Arial" w:eastAsia="Arial" w:hAnsi="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D04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pg.com/us/aura/?utm_source=epg&amp;utm_medium=press_release&amp;utm_campaign=supply_tech_breakthrough_202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pg.com/us/aura/observer-iva/?utm_source=epg&amp;utm_medium=press_release&amp;utm_campaign=supply_tech_breakthrough_20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indsay.schuemann@ep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g.com/us/aura/?utm_source=epg&amp;utm_medium=press_release&amp;utm_campaign=supply_tech_breakthrough_2026" TargetMode="External"/><Relationship Id="rId5" Type="http://schemas.openxmlformats.org/officeDocument/2006/relationships/styles" Target="styles.xml"/><Relationship Id="rId15" Type="http://schemas.openxmlformats.org/officeDocument/2006/relationships/hyperlink" Target="https://SupplyTechBreakthrough.com" TargetMode="External"/><Relationship Id="rId10" Type="http://schemas.openxmlformats.org/officeDocument/2006/relationships/hyperlink" Target="https://epg.com/us/?utm_source=epg&amp;utm_medium=press_release&amp;utm_campaign=supply_tech_breakthrough_2026"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pg.com/us/?utm_source=epg&amp;utm_medium=press_release&amp;utm_campaign=supply_tech_breakthrough_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customXml/itemProps3.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Schuemann, Lindsay</cp:lastModifiedBy>
  <cp:revision>11</cp:revision>
  <dcterms:created xsi:type="dcterms:W3CDTF">2025-05-31T05:32:00Z</dcterms:created>
  <dcterms:modified xsi:type="dcterms:W3CDTF">2026-06-11T06:17:00Z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